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Kalmar kommunfullmäktige</w:t>
      </w:r>
    </w:p>
    <w:p>
      <w:pPr>
        <w:pStyle w:val="Heading1"/>
      </w:pPr>
      <w:r>
        <w:t xml:space="preserve">Stärkt elevhälsa i socioekonomiskt utsatta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Kalmar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Kalmar är 235 men lägre i områden som Norra och Södra. Kolada 2024 visar ökade behov av elevhälsa. Fler kuratorer och speciallärare behövs för likvärdig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Kalmar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15 nya tjänster inom elevhälsa riktade till skolor i utsatta områden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tidiga insatser tas fram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Region Kalmar län förstärks för psykisk hälsa.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årligen i utbildningsnämnden.</w:t>
      </w:r>
    </w:p>
    <w:p>
      <w:pPr>
        <w:spacing w:before="360"/>
      </w:pPr>
    </w:p>
    <w:p>
      <w:r>
        <w:t xml:space="preserve">Kalmar,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Kalmar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2026-07-14T00:22:34.449Z</dcterms:created>
  <dcterms:modified xsi:type="dcterms:W3CDTF">2026-07-14T00:22:34.449Z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